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F7" w:rsidRPr="00B02EA5" w:rsidRDefault="00B02EA5" w:rsidP="00B02EA5">
      <w:pPr>
        <w:ind w:left="284"/>
        <w:jc w:val="center"/>
        <w:rPr>
          <w:rFonts w:asciiTheme="minorHAnsi" w:hAnsiTheme="minorHAnsi" w:cstheme="minorHAnsi"/>
          <w:b/>
          <w:szCs w:val="24"/>
        </w:rPr>
      </w:pPr>
      <w:r w:rsidRPr="00B02EA5">
        <w:rPr>
          <w:rFonts w:asciiTheme="minorHAnsi" w:hAnsiTheme="minorHAnsi" w:cstheme="minorHAnsi"/>
          <w:b/>
          <w:szCs w:val="24"/>
        </w:rPr>
        <w:t>ΦΥΛΛΟ ΣΥΜΜΟΡΦΩΣΗΣ</w:t>
      </w:r>
    </w:p>
    <w:p w:rsidR="00B02EA5" w:rsidRPr="003F75F4" w:rsidRDefault="00B02EA5" w:rsidP="003F75F4">
      <w:pPr>
        <w:ind w:left="284"/>
        <w:rPr>
          <w:rFonts w:asciiTheme="minorHAnsi" w:hAnsiTheme="minorHAnsi" w:cstheme="minorHAnsi"/>
          <w:sz w:val="20"/>
        </w:rPr>
      </w:pPr>
    </w:p>
    <w:tbl>
      <w:tblPr>
        <w:tblStyle w:val="a6"/>
        <w:tblW w:w="0" w:type="auto"/>
        <w:tblLook w:val="04A0"/>
      </w:tblPr>
      <w:tblGrid>
        <w:gridCol w:w="4519"/>
        <w:gridCol w:w="1905"/>
        <w:gridCol w:w="1769"/>
        <w:gridCol w:w="1769"/>
      </w:tblGrid>
      <w:tr w:rsidR="003C783D" w:rsidRPr="003C783D" w:rsidTr="003C783D">
        <w:tc>
          <w:tcPr>
            <w:tcW w:w="4519" w:type="dxa"/>
          </w:tcPr>
          <w:p w:rsidR="003C783D" w:rsidRPr="003C783D" w:rsidRDefault="003C783D" w:rsidP="003C783D">
            <w:pPr>
              <w:widowControl w:val="0"/>
              <w:autoSpaceDE w:val="0"/>
              <w:autoSpaceDN w:val="0"/>
              <w:adjustRightInd w:val="0"/>
              <w:spacing w:line="257" w:lineRule="exact"/>
              <w:ind w:left="116"/>
              <w:jc w:val="center"/>
              <w:rPr>
                <w:rFonts w:asciiTheme="minorHAnsi" w:hAnsiTheme="minorHAnsi" w:cstheme="minorHAnsi"/>
                <w:szCs w:val="24"/>
              </w:rPr>
            </w:pPr>
            <w:r w:rsidRPr="003C783D">
              <w:rPr>
                <w:rFonts w:asciiTheme="minorHAnsi" w:hAnsiTheme="minorHAnsi" w:cstheme="minorHAnsi"/>
                <w:b/>
                <w:bCs/>
                <w:position w:val="1"/>
                <w:szCs w:val="24"/>
              </w:rPr>
              <w:t>ΠΡΟΔΙΑΓΡΑΦΗ</w:t>
            </w:r>
          </w:p>
        </w:tc>
        <w:tc>
          <w:tcPr>
            <w:tcW w:w="1905" w:type="dxa"/>
          </w:tcPr>
          <w:p w:rsidR="003C783D" w:rsidRPr="003C783D" w:rsidRDefault="003C783D" w:rsidP="003C783D">
            <w:pPr>
              <w:jc w:val="center"/>
              <w:rPr>
                <w:b/>
              </w:rPr>
            </w:pPr>
            <w:r w:rsidRPr="003C783D">
              <w:rPr>
                <w:rFonts w:asciiTheme="minorHAnsi" w:hAnsiTheme="minorHAnsi" w:cstheme="minorHAnsi"/>
                <w:b/>
              </w:rPr>
              <w:t>ΑΠΑΙΤΗΣΗ</w:t>
            </w:r>
          </w:p>
        </w:tc>
        <w:tc>
          <w:tcPr>
            <w:tcW w:w="1769" w:type="dxa"/>
          </w:tcPr>
          <w:p w:rsidR="003C783D" w:rsidRPr="003C783D" w:rsidRDefault="003C783D" w:rsidP="003C783D">
            <w:pPr>
              <w:widowControl w:val="0"/>
              <w:autoSpaceDE w:val="0"/>
              <w:autoSpaceDN w:val="0"/>
              <w:adjustRightInd w:val="0"/>
              <w:spacing w:line="257" w:lineRule="exact"/>
              <w:ind w:left="110"/>
              <w:jc w:val="center"/>
              <w:rPr>
                <w:rFonts w:asciiTheme="minorHAnsi" w:hAnsiTheme="minorHAnsi" w:cstheme="minorHAnsi"/>
                <w:b/>
                <w:bCs/>
                <w:position w:val="1"/>
                <w:szCs w:val="24"/>
              </w:rPr>
            </w:pPr>
            <w:r w:rsidRPr="003C783D">
              <w:rPr>
                <w:rFonts w:asciiTheme="minorHAnsi" w:hAnsiTheme="minorHAnsi" w:cstheme="minorHAnsi"/>
                <w:b/>
                <w:bCs/>
                <w:position w:val="1"/>
                <w:szCs w:val="24"/>
              </w:rPr>
              <w:t>ΑΠΑΝΤΗΣΗ</w:t>
            </w:r>
          </w:p>
        </w:tc>
        <w:tc>
          <w:tcPr>
            <w:tcW w:w="1769" w:type="dxa"/>
          </w:tcPr>
          <w:p w:rsidR="003C783D" w:rsidRPr="003C783D" w:rsidRDefault="003C783D" w:rsidP="003C783D">
            <w:pPr>
              <w:widowControl w:val="0"/>
              <w:autoSpaceDE w:val="0"/>
              <w:autoSpaceDN w:val="0"/>
              <w:adjustRightInd w:val="0"/>
              <w:spacing w:line="257" w:lineRule="exact"/>
              <w:ind w:left="96"/>
              <w:jc w:val="center"/>
              <w:rPr>
                <w:rFonts w:asciiTheme="minorHAnsi" w:hAnsiTheme="minorHAnsi" w:cstheme="minorHAnsi"/>
                <w:b/>
                <w:bCs/>
                <w:position w:val="1"/>
                <w:szCs w:val="24"/>
              </w:rPr>
            </w:pPr>
            <w:r w:rsidRPr="003C783D">
              <w:rPr>
                <w:rFonts w:asciiTheme="minorHAnsi" w:hAnsiTheme="minorHAnsi" w:cstheme="minorHAnsi"/>
                <w:b/>
                <w:bCs/>
                <w:position w:val="1"/>
                <w:szCs w:val="24"/>
              </w:rPr>
              <w:t>ΠΑΡΑΠΟΜΠΗ</w:t>
            </w:r>
          </w:p>
        </w:tc>
      </w:tr>
      <w:tr w:rsidR="003C783D" w:rsidRPr="00B02EA5" w:rsidTr="003C783D">
        <w:tc>
          <w:tcPr>
            <w:tcW w:w="4519" w:type="dxa"/>
          </w:tcPr>
          <w:p w:rsidR="003C783D" w:rsidRPr="00B02EA5" w:rsidRDefault="003C783D" w:rsidP="00B02EA5">
            <w:pPr>
              <w:jc w:val="both"/>
              <w:rPr>
                <w:rFonts w:asciiTheme="minorHAnsi" w:hAnsiTheme="minorHAnsi" w:cstheme="minorHAnsi"/>
                <w:sz w:val="20"/>
              </w:rPr>
            </w:pPr>
            <w:r w:rsidRPr="00B02EA5">
              <w:rPr>
                <w:rFonts w:asciiTheme="minorHAnsi" w:hAnsiTheme="minorHAnsi" w:cstheme="minorHAnsi"/>
                <w:sz w:val="20"/>
              </w:rPr>
              <w:t>Υλικά χρωματισμών (</w:t>
            </w:r>
            <w:proofErr w:type="spellStart"/>
            <w:r w:rsidRPr="00B02EA5">
              <w:rPr>
                <w:rFonts w:asciiTheme="minorHAnsi" w:hAnsiTheme="minorHAnsi" w:cstheme="minorHAnsi"/>
                <w:sz w:val="20"/>
              </w:rPr>
              <w:t>υδατοδιάλυτη</w:t>
            </w:r>
            <w:proofErr w:type="spellEnd"/>
            <w:r w:rsidRPr="00B02EA5">
              <w:rPr>
                <w:rFonts w:asciiTheme="minorHAnsi" w:hAnsiTheme="minorHAnsi" w:cstheme="minorHAnsi"/>
                <w:sz w:val="20"/>
              </w:rPr>
              <w:t xml:space="preserve"> οικολογική αντιμικροβιακή ριπουλίνη ή υδροδιαλυτό αντιμικροβιακό οικολογικό πλαστικό ή αντιμικροβιακό υδρόχρωμα), για εξωτερικές σωληνώσεις, οριζόντιες επιφάνειες (οροφές), θερμαντικά σώματα (καλοριφέρ) και κατακόρυφες επιφάνειες ( εξωτερικά παράθυρα, τοιχοποιίες, κτλ), συνολικής επιφάνειας 1500 τ.μ. περίπου.</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B02EA5">
        <w:tc>
          <w:tcPr>
            <w:tcW w:w="9962" w:type="dxa"/>
            <w:gridSpan w:val="4"/>
            <w:vAlign w:val="center"/>
          </w:tcPr>
          <w:p w:rsidR="003C783D" w:rsidRPr="00B02EA5" w:rsidRDefault="003C783D" w:rsidP="003C783D">
            <w:pPr>
              <w:rPr>
                <w:rFonts w:asciiTheme="minorHAnsi" w:hAnsiTheme="minorHAnsi" w:cstheme="minorHAnsi"/>
                <w:sz w:val="20"/>
              </w:rPr>
            </w:pPr>
            <w:r w:rsidRPr="00B02EA5">
              <w:rPr>
                <w:rFonts w:asciiTheme="minorHAnsi" w:hAnsiTheme="minorHAnsi" w:cstheme="minorHAnsi"/>
                <w:sz w:val="20"/>
              </w:rPr>
              <w:t>Για την ορθή εφαρμογή και τοποθέτηση των υλικών στους χώρους, απαιτούνται τα εξής:</w:t>
            </w:r>
          </w:p>
        </w:tc>
      </w:tr>
      <w:tr w:rsidR="003C783D" w:rsidRPr="00B02EA5" w:rsidTr="003C783D">
        <w:tc>
          <w:tcPr>
            <w:tcW w:w="4519" w:type="dxa"/>
          </w:tcPr>
          <w:p w:rsidR="003C783D" w:rsidRPr="00B02EA5" w:rsidRDefault="003C783D" w:rsidP="00B02EA5">
            <w:pPr>
              <w:numPr>
                <w:ilvl w:val="0"/>
                <w:numId w:val="4"/>
              </w:numPr>
              <w:ind w:left="284" w:hanging="284"/>
              <w:jc w:val="both"/>
              <w:rPr>
                <w:rFonts w:asciiTheme="minorHAnsi" w:eastAsia="Arial" w:hAnsiTheme="minorHAnsi" w:cstheme="minorHAnsi"/>
                <w:sz w:val="20"/>
                <w:lang w:bidi="el-GR"/>
              </w:rPr>
            </w:pPr>
            <w:r w:rsidRPr="00B02EA5">
              <w:rPr>
                <w:rFonts w:asciiTheme="minorHAnsi" w:eastAsia="Arial" w:hAnsiTheme="minorHAnsi" w:cstheme="minorHAnsi"/>
                <w:sz w:val="20"/>
                <w:lang w:bidi="el-GR"/>
              </w:rPr>
              <w:t>Απόξεση των σαθρών τμημάτων του επιχρίσματος και των παλαιών φθαρμένων χρωμάτων στους τοίχους, όπου αυτά έχουν αποκολληθεί. Αποκατάσταση των επιφανειών, όπου χρειάζεται,  με κονίαμα και σπατουλάρισμα, καθώς και σφράγιση των παλιών οπών της τοιχοποιίας. Λόγω του συνδυασμού ύπαρξης φέρουσας τοιχοποιίας και προβλημάτων υγρασίας σε ορισμένα τμήματα των χώρων που θα ανακαινισθούν, θα πρέπει να δοθεί ιδιαίτερη προσοχή στα υλικά αποκατάστασης των επιφανειών (να είναι διαπνέοντα, να μην περιέχουν γύψο, κτλ).</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eastAsia="Arial" w:hAnsiTheme="minorHAnsi" w:cstheme="minorHAnsi"/>
                <w:sz w:val="20"/>
                <w:lang w:bidi="el-GR"/>
              </w:rPr>
            </w:pPr>
          </w:p>
        </w:tc>
        <w:tc>
          <w:tcPr>
            <w:tcW w:w="1769" w:type="dxa"/>
            <w:vAlign w:val="center"/>
          </w:tcPr>
          <w:p w:rsidR="003C783D" w:rsidRPr="00B02EA5" w:rsidRDefault="003C783D" w:rsidP="00B02EA5">
            <w:pPr>
              <w:jc w:val="center"/>
              <w:rPr>
                <w:rFonts w:asciiTheme="minorHAnsi" w:eastAsia="Arial" w:hAnsiTheme="minorHAnsi" w:cstheme="minorHAnsi"/>
                <w:sz w:val="20"/>
                <w:lang w:bidi="el-GR"/>
              </w:rPr>
            </w:pPr>
          </w:p>
        </w:tc>
      </w:tr>
      <w:tr w:rsidR="003C783D" w:rsidRPr="00B02EA5" w:rsidTr="003C783D">
        <w:tc>
          <w:tcPr>
            <w:tcW w:w="4519" w:type="dxa"/>
          </w:tcPr>
          <w:p w:rsidR="003C783D" w:rsidRPr="00B02EA5" w:rsidRDefault="003C783D" w:rsidP="00B02EA5">
            <w:pPr>
              <w:pStyle w:val="a4"/>
              <w:numPr>
                <w:ilvl w:val="0"/>
                <w:numId w:val="4"/>
              </w:numPr>
              <w:ind w:left="284" w:hanging="284"/>
              <w:jc w:val="both"/>
              <w:rPr>
                <w:rFonts w:asciiTheme="minorHAnsi" w:hAnsiTheme="minorHAnsi" w:cstheme="minorHAnsi"/>
                <w:sz w:val="20"/>
                <w:szCs w:val="20"/>
              </w:rPr>
            </w:pPr>
            <w:r w:rsidRPr="00B02EA5">
              <w:rPr>
                <w:rFonts w:asciiTheme="minorHAnsi" w:hAnsiTheme="minorHAnsi" w:cstheme="minorHAnsi"/>
                <w:sz w:val="20"/>
                <w:szCs w:val="20"/>
              </w:rPr>
              <w:t xml:space="preserve">Βαφή των τοίχων των διαδρόμων, των θαλάμων, των </w:t>
            </w:r>
            <w:r w:rsidRPr="00B02EA5">
              <w:rPr>
                <w:rFonts w:asciiTheme="minorHAnsi" w:hAnsiTheme="minorHAnsi" w:cstheme="minorHAnsi"/>
                <w:sz w:val="20"/>
                <w:szCs w:val="20"/>
                <w:lang w:val="en-US"/>
              </w:rPr>
              <w:t>WC</w:t>
            </w:r>
            <w:r w:rsidRPr="00B02EA5">
              <w:rPr>
                <w:rFonts w:asciiTheme="minorHAnsi" w:hAnsiTheme="minorHAnsi" w:cstheme="minorHAnsi"/>
                <w:sz w:val="20"/>
                <w:szCs w:val="20"/>
              </w:rPr>
              <w:t xml:space="preserve"> και των γραφείων, με χρώματα άριστης ποιότητας και κατάλληλα για τους χώρους Νοσοκομείου, με υδροδιαλυτό </w:t>
            </w:r>
            <w:r w:rsidRPr="00B02EA5">
              <w:rPr>
                <w:rFonts w:asciiTheme="minorHAnsi" w:hAnsiTheme="minorHAnsi" w:cstheme="minorHAnsi"/>
                <w:sz w:val="20"/>
                <w:szCs w:val="20"/>
                <w:u w:val="single"/>
              </w:rPr>
              <w:t>αντιμικροβιακό</w:t>
            </w:r>
            <w:r w:rsidRPr="00B02EA5">
              <w:rPr>
                <w:rFonts w:asciiTheme="minorHAnsi" w:hAnsiTheme="minorHAnsi" w:cstheme="minorHAnsi"/>
                <w:sz w:val="20"/>
                <w:szCs w:val="20"/>
              </w:rPr>
              <w:t xml:space="preserve"> οικολογικό πλαστικό, με χρωματισμούς της επιλογής της Τεχνικής Υπηρεσίας. </w:t>
            </w:r>
            <w:r w:rsidRPr="00B02EA5">
              <w:rPr>
                <w:rFonts w:asciiTheme="minorHAnsi" w:hAnsiTheme="minorHAnsi" w:cstheme="minorHAnsi"/>
                <w:b/>
                <w:sz w:val="20"/>
                <w:szCs w:val="20"/>
              </w:rPr>
              <w:t>Οι προς βαφή κατακόρυφες επιφάνειες των τοίχων υπολογίζονται σε 1300 τ.μ. περίπου</w:t>
            </w:r>
            <w:r w:rsidRPr="00B02EA5">
              <w:rPr>
                <w:rFonts w:asciiTheme="minorHAnsi" w:hAnsiTheme="minorHAnsi" w:cstheme="minorHAnsi"/>
                <w:sz w:val="20"/>
                <w:szCs w:val="20"/>
              </w:rPr>
              <w:t>. Επίσης λόγω του συνδυασμού ύπαρξης φέρουσας τοιχοποιίας και προβλημάτων υγρασίας σε ορισμένα τμήματα των χώρων που θα βαφούν, θα πρέπει να δοθεί ιδιαίτερη προσοχή στις μηχανικές ιδιότητες των χρωμάτων που θα χρησιμοποιηθούν (π.χ. να είναι διαπνέοντα).</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numPr>
                <w:ilvl w:val="0"/>
                <w:numId w:val="4"/>
              </w:numPr>
              <w:ind w:left="284" w:hanging="284"/>
              <w:jc w:val="both"/>
              <w:rPr>
                <w:rFonts w:asciiTheme="minorHAnsi" w:hAnsiTheme="minorHAnsi" w:cstheme="minorHAnsi"/>
                <w:sz w:val="20"/>
              </w:rPr>
            </w:pPr>
            <w:r w:rsidRPr="00B02EA5">
              <w:rPr>
                <w:rFonts w:asciiTheme="minorHAnsi" w:hAnsiTheme="minorHAnsi" w:cstheme="minorHAnsi"/>
                <w:sz w:val="20"/>
              </w:rPr>
              <w:t xml:space="preserve">Βαφή όλων των εξωτερικών ξύλινων παραθύρων και από τις δύο όψεις τους (διαστάσεις σύμφωνα με τα σχέδια) με υδατοδιαλυτή αντιμικροβιακή ριπουλίνη, </w:t>
            </w:r>
            <w:r w:rsidRPr="00B02EA5">
              <w:rPr>
                <w:rFonts w:asciiTheme="minorHAnsi" w:hAnsiTheme="minorHAnsi" w:cstheme="minorHAnsi"/>
                <w:b/>
                <w:sz w:val="20"/>
              </w:rPr>
              <w:t>μετά την κατάλληλη προεργασία και αποκατάσταση των ξύλινων επιφανειών τους</w:t>
            </w:r>
            <w:r w:rsidRPr="00B02EA5">
              <w:rPr>
                <w:rFonts w:asciiTheme="minorHAnsi" w:hAnsiTheme="minorHAnsi" w:cstheme="minorHAnsi"/>
                <w:sz w:val="20"/>
              </w:rPr>
              <w:t xml:space="preserve">, με χρωματισμούς της επιλογής της Τεχνικής Υπηρεσίας. </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pStyle w:val="a4"/>
              <w:numPr>
                <w:ilvl w:val="0"/>
                <w:numId w:val="4"/>
              </w:numPr>
              <w:ind w:left="284" w:hanging="284"/>
              <w:jc w:val="both"/>
              <w:rPr>
                <w:rFonts w:asciiTheme="minorHAnsi" w:hAnsiTheme="minorHAnsi" w:cstheme="minorHAnsi"/>
                <w:sz w:val="20"/>
                <w:szCs w:val="20"/>
              </w:rPr>
            </w:pPr>
            <w:r w:rsidRPr="00B02EA5">
              <w:rPr>
                <w:rFonts w:asciiTheme="minorHAnsi" w:hAnsiTheme="minorHAnsi" w:cstheme="minorHAnsi"/>
                <w:sz w:val="20"/>
                <w:szCs w:val="20"/>
              </w:rPr>
              <w:t>Καθαίρεση διαχωριστικής γυψοσανίδας, που βρίσκεται εσωτερικά του Ουρολογικού τμήματος και αποκατάσταση της τοιχοποιίας.</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pStyle w:val="a4"/>
              <w:numPr>
                <w:ilvl w:val="0"/>
                <w:numId w:val="4"/>
              </w:numPr>
              <w:ind w:left="284" w:hanging="284"/>
              <w:jc w:val="both"/>
              <w:rPr>
                <w:rFonts w:asciiTheme="minorHAnsi" w:hAnsiTheme="minorHAnsi" w:cstheme="minorHAnsi"/>
                <w:sz w:val="20"/>
                <w:szCs w:val="20"/>
              </w:rPr>
            </w:pPr>
            <w:r w:rsidRPr="00B02EA5">
              <w:rPr>
                <w:rFonts w:asciiTheme="minorHAnsi" w:hAnsiTheme="minorHAnsi" w:cstheme="minorHAnsi"/>
                <w:sz w:val="20"/>
                <w:szCs w:val="20"/>
              </w:rPr>
              <w:t xml:space="preserve">Αστάρωμα και βαφή όλων των εξωτερικών κουφωμάτων  και των κασωμάτων τους (από την εσωτερική πλευρά μόνο), με χρωματισμούς της επιλογής της Τεχνικής Υπηρεσίας, αφού πρώτα στοκαριστούν και τριφτούν στα σημεία που απαιτούνται, έτσι ώστε να επιτευχθούν λείες επιφάνειες. </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pStyle w:val="a4"/>
              <w:numPr>
                <w:ilvl w:val="0"/>
                <w:numId w:val="4"/>
              </w:numPr>
              <w:ind w:left="284" w:hanging="284"/>
              <w:jc w:val="both"/>
              <w:rPr>
                <w:rFonts w:asciiTheme="minorHAnsi" w:hAnsiTheme="minorHAnsi" w:cstheme="minorHAnsi"/>
                <w:sz w:val="20"/>
                <w:szCs w:val="20"/>
              </w:rPr>
            </w:pPr>
            <w:r w:rsidRPr="00B02EA5">
              <w:rPr>
                <w:rFonts w:asciiTheme="minorHAnsi" w:hAnsiTheme="minorHAnsi" w:cstheme="minorHAnsi"/>
                <w:sz w:val="20"/>
                <w:szCs w:val="20"/>
              </w:rPr>
              <w:lastRenderedPageBreak/>
              <w:t xml:space="preserve">Βαφή  μόνο των </w:t>
            </w:r>
            <w:proofErr w:type="spellStart"/>
            <w:r w:rsidRPr="00B02EA5">
              <w:rPr>
                <w:rFonts w:asciiTheme="minorHAnsi" w:hAnsiTheme="minorHAnsi" w:cstheme="minorHAnsi"/>
                <w:sz w:val="20"/>
                <w:szCs w:val="20"/>
              </w:rPr>
              <w:t>κασωμάτων</w:t>
            </w:r>
            <w:proofErr w:type="spellEnd"/>
            <w:r w:rsidRPr="00B02EA5">
              <w:rPr>
                <w:rFonts w:asciiTheme="minorHAnsi" w:hAnsiTheme="minorHAnsi" w:cstheme="minorHAnsi"/>
                <w:sz w:val="20"/>
                <w:szCs w:val="20"/>
              </w:rPr>
              <w:t xml:space="preserve"> των εσωτερικών θυρών με χρωματισμούς της επιλογής της Τεχνικής Υπηρεσίας, αφού πρώτα στοκαριστούν και τριφτούν στα σημεία που απαιτούνται, έτσι ώστε να επιτευχθούν λείες επιφάνειες</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pStyle w:val="a4"/>
              <w:numPr>
                <w:ilvl w:val="0"/>
                <w:numId w:val="4"/>
              </w:numPr>
              <w:ind w:left="284" w:hanging="284"/>
              <w:jc w:val="both"/>
              <w:rPr>
                <w:rFonts w:asciiTheme="minorHAnsi" w:hAnsiTheme="minorHAnsi" w:cstheme="minorHAnsi"/>
                <w:sz w:val="20"/>
                <w:szCs w:val="20"/>
              </w:rPr>
            </w:pPr>
            <w:r w:rsidRPr="00B02EA5">
              <w:rPr>
                <w:rFonts w:asciiTheme="minorHAnsi" w:hAnsiTheme="minorHAnsi" w:cstheme="minorHAnsi"/>
                <w:sz w:val="20"/>
                <w:szCs w:val="20"/>
              </w:rPr>
              <w:t xml:space="preserve">Βαφή των θερμαντικών σωμάτων και των εξωτερικών τους σωληνώσεων με βαφή κατάλληλη για υψηλές θερμοκρασίες, αφού γίνει καλή απόξεση του παλαιού χρώματος και αποκατάσταση της επιφάνειας. </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pStyle w:val="a4"/>
              <w:numPr>
                <w:ilvl w:val="0"/>
                <w:numId w:val="4"/>
              </w:numPr>
              <w:ind w:left="284" w:hanging="284"/>
              <w:jc w:val="both"/>
              <w:rPr>
                <w:rFonts w:asciiTheme="minorHAnsi" w:hAnsiTheme="minorHAnsi" w:cstheme="minorHAnsi"/>
                <w:sz w:val="20"/>
                <w:szCs w:val="20"/>
              </w:rPr>
            </w:pPr>
            <w:r w:rsidRPr="00B02EA5">
              <w:rPr>
                <w:rFonts w:asciiTheme="minorHAnsi" w:hAnsiTheme="minorHAnsi" w:cstheme="minorHAnsi"/>
                <w:sz w:val="20"/>
                <w:szCs w:val="20"/>
              </w:rPr>
              <w:t xml:space="preserve">Τοποθέτηση δεκαέξι (16) φωτιστικών οροφής </w:t>
            </w:r>
            <w:r w:rsidRPr="00B02EA5">
              <w:rPr>
                <w:rFonts w:asciiTheme="minorHAnsi" w:hAnsiTheme="minorHAnsi" w:cstheme="minorHAnsi"/>
                <w:sz w:val="20"/>
                <w:szCs w:val="20"/>
                <w:lang w:val="en-US"/>
              </w:rPr>
              <w:t>panel</w:t>
            </w:r>
            <w:r w:rsidRPr="00B02EA5">
              <w:rPr>
                <w:rFonts w:asciiTheme="minorHAnsi" w:hAnsiTheme="minorHAnsi" w:cstheme="minorHAnsi"/>
                <w:sz w:val="20"/>
                <w:szCs w:val="20"/>
              </w:rPr>
              <w:t xml:space="preserve"> 60Χ60 εκ. 4000 Κ σε αντικατάσταση των παλαιών. </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numPr>
                <w:ilvl w:val="0"/>
                <w:numId w:val="4"/>
              </w:numPr>
              <w:ind w:left="284" w:hanging="284"/>
              <w:jc w:val="both"/>
              <w:rPr>
                <w:rFonts w:asciiTheme="minorHAnsi" w:hAnsiTheme="minorHAnsi" w:cstheme="minorHAnsi"/>
                <w:sz w:val="20"/>
              </w:rPr>
            </w:pPr>
            <w:r w:rsidRPr="00B02EA5">
              <w:rPr>
                <w:rFonts w:asciiTheme="minorHAnsi" w:hAnsiTheme="minorHAnsi" w:cstheme="minorHAnsi"/>
                <w:sz w:val="20"/>
              </w:rPr>
              <w:t xml:space="preserve">Απομάκρυνση των μπαζών και όλων των άχρηστων υλικών που θα δημιουργηθούν λόγω των εργασιών, από τους χώρους του Νοσοκομείου. </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rPr>
                <w:rFonts w:asciiTheme="minorHAnsi" w:hAnsiTheme="minorHAnsi" w:cstheme="minorHAnsi"/>
                <w:b/>
                <w:sz w:val="20"/>
                <w:u w:val="single"/>
              </w:rPr>
            </w:pPr>
            <w:r w:rsidRPr="00B02EA5">
              <w:rPr>
                <w:rFonts w:asciiTheme="minorHAnsi" w:hAnsiTheme="minorHAnsi" w:cstheme="minorHAnsi"/>
                <w:b/>
                <w:sz w:val="20"/>
                <w:u w:val="single"/>
              </w:rPr>
              <w:t>Γενικοί Όροι</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b/>
                <w:sz w:val="20"/>
                <w:u w:val="single"/>
              </w:rPr>
            </w:pPr>
          </w:p>
        </w:tc>
        <w:tc>
          <w:tcPr>
            <w:tcW w:w="1769" w:type="dxa"/>
            <w:vAlign w:val="center"/>
          </w:tcPr>
          <w:p w:rsidR="003C783D" w:rsidRPr="00B02EA5" w:rsidRDefault="003C783D" w:rsidP="00B02EA5">
            <w:pPr>
              <w:jc w:val="center"/>
              <w:rPr>
                <w:rFonts w:asciiTheme="minorHAnsi" w:hAnsiTheme="minorHAnsi" w:cstheme="minorHAnsi"/>
                <w:b/>
                <w:sz w:val="20"/>
                <w:u w:val="single"/>
              </w:rPr>
            </w:pPr>
          </w:p>
        </w:tc>
      </w:tr>
      <w:tr w:rsidR="003C783D" w:rsidRPr="00B02EA5" w:rsidTr="003C783D">
        <w:tc>
          <w:tcPr>
            <w:tcW w:w="4519" w:type="dxa"/>
          </w:tcPr>
          <w:p w:rsidR="003C783D" w:rsidRPr="00B02EA5" w:rsidRDefault="003C783D" w:rsidP="00B02EA5">
            <w:pPr>
              <w:jc w:val="both"/>
              <w:rPr>
                <w:rFonts w:asciiTheme="minorHAnsi" w:hAnsiTheme="minorHAnsi" w:cstheme="minorHAnsi"/>
                <w:sz w:val="20"/>
              </w:rPr>
            </w:pPr>
            <w:r w:rsidRPr="00B02EA5">
              <w:rPr>
                <w:rFonts w:asciiTheme="minorHAnsi" w:hAnsiTheme="minorHAnsi" w:cstheme="minorHAnsi"/>
                <w:sz w:val="20"/>
              </w:rPr>
              <w:t>Η ανάθεση της ανωτέρω προμήθειας υλικών και η παροχή εργασιών τοποθέτησής τους, θα γίνει σε έναν ανάδοχο.</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jc w:val="both"/>
              <w:rPr>
                <w:rFonts w:asciiTheme="minorHAnsi" w:eastAsia="Calibri" w:hAnsiTheme="minorHAnsi" w:cstheme="minorHAnsi"/>
                <w:sz w:val="20"/>
                <w:lang w:eastAsia="en-US"/>
              </w:rPr>
            </w:pPr>
            <w:r w:rsidRPr="00B02EA5">
              <w:rPr>
                <w:rFonts w:asciiTheme="minorHAnsi" w:hAnsiTheme="minorHAnsi" w:cstheme="minorHAnsi"/>
                <w:sz w:val="20"/>
              </w:rPr>
              <w:t>Όλοι οι υποψήφιοι ανάδοχοι θα πρέπει να επισκεφτούν την εγκατάσταση προκειμένου να λάβουν γνώση των συνθηκών του έργου λόγω των ιδιαίτερων συνθηκών και της κρισιμότητας των χώρων.</w:t>
            </w:r>
            <w:r w:rsidRPr="00B02EA5">
              <w:rPr>
                <w:rFonts w:asciiTheme="minorHAnsi" w:hAnsiTheme="minorHAnsi" w:cstheme="minorHAnsi"/>
                <w:noProof/>
                <w:sz w:val="20"/>
              </w:rPr>
              <w:t xml:space="preserve"> </w:t>
            </w:r>
            <w:r w:rsidRPr="00B02EA5">
              <w:rPr>
                <w:rFonts w:asciiTheme="minorHAnsi" w:eastAsia="Calibri" w:hAnsiTheme="minorHAnsi" w:cstheme="minorHAnsi"/>
                <w:b/>
                <w:sz w:val="20"/>
                <w:lang w:eastAsia="en-US"/>
              </w:rPr>
              <w:t>Απαραίτητη προϋπόθεση για τη συμμετοχή στο διαγωνισμό είναι η επιτόπια επίσκεψη των εγκαταστάσεων της σύμβασης πριν την υποβολή προσφοράς, για την οποία η Αναθέτουσα  Αρχή θα χορηγήσει βεβαίωση επίσκεψης, η οποία θα πρέπει να κατατεθεί με τον φάκελο προσφοράς.</w:t>
            </w:r>
            <w:r w:rsidRPr="00B02EA5">
              <w:rPr>
                <w:rFonts w:asciiTheme="minorHAnsi" w:hAnsiTheme="minorHAnsi" w:cstheme="minorHAnsi"/>
                <w:b/>
                <w:sz w:val="20"/>
              </w:rPr>
              <w:t xml:space="preserve">                                                                                                                                                </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jc w:val="both"/>
              <w:rPr>
                <w:rFonts w:asciiTheme="minorHAnsi" w:hAnsiTheme="minorHAnsi" w:cstheme="minorHAnsi"/>
                <w:sz w:val="20"/>
              </w:rPr>
            </w:pPr>
            <w:r w:rsidRPr="00B02EA5">
              <w:rPr>
                <w:rFonts w:asciiTheme="minorHAnsi" w:hAnsiTheme="minorHAnsi" w:cstheme="minorHAnsi"/>
                <w:sz w:val="20"/>
              </w:rPr>
              <w:t xml:space="preserve">Οι βαφές/χρωματισμοί περιλαμβάνουν και όλες τις απαιτούμενες εργασίες και μικροϋλικά για την προσωρινή αφαίρεση και επανατοποθέτηση πρόσθετων κατασκευών και εξοπλισμού, όπως πρίζες, διακόπτες, φωτιστικά, στόμια, κλπ. Επίσης </w:t>
            </w:r>
            <w:r w:rsidRPr="00B02EA5">
              <w:rPr>
                <w:rFonts w:asciiTheme="minorHAnsi" w:hAnsiTheme="minorHAnsi" w:cstheme="minorHAnsi"/>
                <w:b/>
                <w:sz w:val="20"/>
              </w:rPr>
              <w:t>ο ανάδοχος είναι υποχρεωμένος να λάβει όλα τα απαραίτητα μέτρα για την προστασία στοιχείων της κατασκευής</w:t>
            </w:r>
            <w:r w:rsidRPr="00B02EA5">
              <w:rPr>
                <w:rFonts w:asciiTheme="minorHAnsi" w:hAnsiTheme="minorHAnsi" w:cstheme="minorHAnsi"/>
                <w:sz w:val="20"/>
              </w:rPr>
              <w:t xml:space="preserve"> (κουφωμάτων, δαπέδων, επενδύσεων κλπ) </w:t>
            </w:r>
            <w:r w:rsidRPr="00B02EA5">
              <w:rPr>
                <w:rFonts w:asciiTheme="minorHAnsi" w:hAnsiTheme="minorHAnsi" w:cstheme="minorHAnsi"/>
                <w:b/>
                <w:sz w:val="20"/>
              </w:rPr>
              <w:t>ή ετοίμων χρωματισμένων επιφανειών από ρύπανση που μπορεί να προκύψει κατά την εκτέλεση των εργασιών</w:t>
            </w:r>
            <w:r w:rsidRPr="00B02EA5">
              <w:rPr>
                <w:rFonts w:asciiTheme="minorHAnsi" w:hAnsiTheme="minorHAnsi" w:cstheme="minorHAnsi"/>
                <w:sz w:val="20"/>
              </w:rPr>
              <w:t xml:space="preserve"> (χρήση αυτοκόλλητων ταινιών, φύλλων νάιλον, οικοδομικού χαρτιού κλπ). Μάλιστα </w:t>
            </w:r>
            <w:r w:rsidRPr="00B02EA5">
              <w:rPr>
                <w:rFonts w:asciiTheme="minorHAnsi" w:hAnsiTheme="minorHAnsi" w:cstheme="minorHAnsi"/>
                <w:b/>
                <w:sz w:val="20"/>
              </w:rPr>
              <w:t>ο ανάδοχος είναι υποχρεωμένος σε καθημερινή βάση μετά το πέρας των ημερήσιων εργασιών να παραδίδει τους κοινόχρηστους χώρους (διάδρομοι, κτλ) καθαρούς από σκόνη/βρωμιές που προήλθαν από τις εργασίες ανακαίνισης, κάνοντας χρήση δικών του μέσων καθαριότητας</w:t>
            </w:r>
            <w:r w:rsidRPr="00B02EA5">
              <w:rPr>
                <w:rFonts w:asciiTheme="minorHAnsi" w:hAnsiTheme="minorHAnsi" w:cstheme="minorHAnsi"/>
                <w:sz w:val="20"/>
              </w:rPr>
              <w:t xml:space="preserve"> (ηλεκτρικής σκούπας, σφουγγαρίστρας, κτλ).      </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jc w:val="both"/>
              <w:rPr>
                <w:rFonts w:asciiTheme="minorHAnsi" w:hAnsiTheme="minorHAnsi" w:cstheme="minorHAnsi"/>
                <w:sz w:val="20"/>
              </w:rPr>
            </w:pPr>
            <w:r w:rsidRPr="00B02EA5">
              <w:rPr>
                <w:rFonts w:asciiTheme="minorHAnsi" w:hAnsiTheme="minorHAnsi" w:cstheme="minorHAnsi"/>
                <w:sz w:val="20"/>
              </w:rPr>
              <w:t xml:space="preserve">Οι μεταφορές τυχόν αντικειμένων που υπάρχουν στους χώρους θα γίνουν με ευθύνη του αναδόχου. Η συγκέντρωση, αποκομιδή  απόρριψη των μπαζών και όλων των άχρηστων υλικών που θα προκύψουν από τις εργασίες θα γίνεται με ευθύνη του </w:t>
            </w:r>
            <w:r w:rsidRPr="00B02EA5">
              <w:rPr>
                <w:rFonts w:asciiTheme="minorHAnsi" w:hAnsiTheme="minorHAnsi" w:cstheme="minorHAnsi"/>
                <w:sz w:val="20"/>
              </w:rPr>
              <w:lastRenderedPageBreak/>
              <w:t>αναδόχου. Τα μπάζα θα συγκεντρώνονται, θα τοποθετούνται σε πλαστικές σακούλες και θα απομακρύνονται από τους χώρους του νοσοκομείου. Η μεταφορά υλικών στα σημεία του κτηρίου που προβλέπεται να γίνουν εργασίες, θα γίνεται με ιδιαίτερη προσοχή, προκειμένου να μην υπάρξουν ζημίες στους χώρους του κτηρίου. Στην περίπτωση, τυχόν, πρόκλησης οποιωνδήποτε ζημιών ο ανάδοχος θα φέρει την απόλυτη και αποκλειστική ευθύνη για την πλήρη αποκατάστασή τους. Μετά το πέρας των εργασιών και πριν την παραλαβή του έργου θα γίνει πλήρης καθαρισμός των χώρων, ώστε να έτοιμοι προς χρήση.</w:t>
            </w:r>
          </w:p>
        </w:tc>
        <w:tc>
          <w:tcPr>
            <w:tcW w:w="1905" w:type="dxa"/>
          </w:tcPr>
          <w:p w:rsidR="003C783D" w:rsidRDefault="003C783D" w:rsidP="003C783D">
            <w:pPr>
              <w:jc w:val="center"/>
            </w:pPr>
            <w:r w:rsidRPr="00A82B99">
              <w:rPr>
                <w:rFonts w:asciiTheme="minorHAnsi" w:hAnsiTheme="minorHAnsi" w:cstheme="minorHAnsi"/>
                <w:sz w:val="20"/>
              </w:rPr>
              <w:lastRenderedPageBreak/>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jc w:val="both"/>
              <w:rPr>
                <w:rFonts w:asciiTheme="minorHAnsi" w:hAnsiTheme="minorHAnsi" w:cstheme="minorHAnsi"/>
                <w:sz w:val="20"/>
              </w:rPr>
            </w:pPr>
            <w:r w:rsidRPr="00B02EA5">
              <w:rPr>
                <w:rFonts w:asciiTheme="minorHAnsi" w:hAnsiTheme="minorHAnsi" w:cstheme="minorHAnsi"/>
                <w:sz w:val="20"/>
              </w:rPr>
              <w:lastRenderedPageBreak/>
              <w:t xml:space="preserve">Την επίβλεψη όλων των παραπάνω θα έχει το Τεχνικό Τμήμα του Νοσοκομείου με τις παρατηρήσεις και τις υποδείξεις του οποίου υποχρεούται να συμμορφώνεται ο ανάδοχος. Το Νοσοκομείο δεν έχει υποχρέωση να παρέχει υλικά  και εργαλεία στον ανάδοχο, ούτε έχει ευθύνη για τυχόν τραυματισμό εργαζομένων του. Οι υποχρεώσεις προς το Ι.Κ.Α. και λοιπούς Ασφαλιστικούς Οργανισμούς θα βαρύνουν τον ανάδοχο. Η ποιότητα των υλικών θα ελέγχεται από το Τεχνικό Τμήμα του Νοσοκομείου. </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jc w:val="both"/>
              <w:rPr>
                <w:rFonts w:asciiTheme="minorHAnsi" w:hAnsiTheme="minorHAnsi" w:cstheme="minorHAnsi"/>
                <w:sz w:val="20"/>
              </w:rPr>
            </w:pPr>
            <w:r w:rsidRPr="00B02EA5">
              <w:rPr>
                <w:rFonts w:asciiTheme="minorHAnsi" w:hAnsiTheme="minorHAnsi" w:cstheme="minorHAnsi"/>
                <w:sz w:val="20"/>
              </w:rPr>
              <w:t xml:space="preserve">Ο ανάδοχος έχει την υποχρέωση πριν την έναρξη της ανακαίνισης να καταθέσει ακριβές χρονοδιάγραμμα εκτέλεσης των εργασιών που περιγράφονται παραπάνω και να λάβει την έγκριση της Τεχνικής Υπηρεσίας. Το χρονοδιάγραμμα θα πρέπει να τηρηθεί αυστηρά από τον ανάδοχο, ώστε να μην δημιουργηθούν δυσλειτουργίες στην Ουρολογική Κλινική κατά την διάρκεια της ανακαίνισης. Η απαιτούμενη χρονική διάρκεια της ανακαίνισης, όπως περιγράφονται παραπάνω, </w:t>
            </w:r>
            <w:r w:rsidRPr="00B02EA5">
              <w:rPr>
                <w:rFonts w:asciiTheme="minorHAnsi" w:hAnsiTheme="minorHAnsi" w:cstheme="minorHAnsi"/>
                <w:b/>
                <w:sz w:val="20"/>
              </w:rPr>
              <w:t xml:space="preserve">δεν πρέπει να υπερβαίνει τις τριάντα (30) εργάσιμες ημέρες, συνεχόμενες ή μη </w:t>
            </w:r>
            <w:r w:rsidRPr="00B02EA5">
              <w:rPr>
                <w:rFonts w:asciiTheme="minorHAnsi" w:hAnsiTheme="minorHAnsi" w:cstheme="minorHAnsi"/>
                <w:sz w:val="20"/>
              </w:rPr>
              <w:t xml:space="preserve">(π.χ. σε μέρες εφημερίας του Νοσοκομείου μπορεί να μην επιτραπεί να πραγματοποιούνται εργασίες). </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jc w:val="both"/>
              <w:rPr>
                <w:rFonts w:asciiTheme="minorHAnsi" w:hAnsiTheme="minorHAnsi" w:cstheme="minorHAnsi"/>
                <w:sz w:val="20"/>
              </w:rPr>
            </w:pPr>
            <w:r w:rsidRPr="00B02EA5">
              <w:rPr>
                <w:rFonts w:asciiTheme="minorHAnsi" w:hAnsiTheme="minorHAnsi" w:cstheme="minorHAnsi"/>
                <w:sz w:val="20"/>
              </w:rPr>
              <w:t xml:space="preserve">Το Νοσοκομείο δεν έχει υποχρέωση να παρέχει υλικά  και εργαλεία στον μειοδότη, ούτε έχει ευθύνη για τυχόν τραυματισμό εργαζομένων του. </w:t>
            </w:r>
            <w:r w:rsidRPr="00B02EA5">
              <w:rPr>
                <w:rFonts w:asciiTheme="minorHAnsi" w:hAnsiTheme="minorHAnsi" w:cstheme="minorHAnsi"/>
                <w:b/>
                <w:sz w:val="20"/>
              </w:rPr>
              <w:t>Για όλες τις εργασίες θα πρέπει να τηρούνται οι κανονισμοί ασφαλείας με ευθύνη του αναδόχου.</w:t>
            </w:r>
            <w:r w:rsidRPr="00B02EA5">
              <w:rPr>
                <w:rFonts w:asciiTheme="minorHAnsi" w:hAnsiTheme="minorHAnsi" w:cstheme="minorHAnsi"/>
                <w:sz w:val="20"/>
              </w:rPr>
              <w:t xml:space="preserve"> Οι υποχρεώσεις προς το Ι.Κ.Α. και λοιπούς Ασφαλιστικούς Οργανισμούς θα βαρύνουν τον ανάδοχο.</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r w:rsidR="003C783D" w:rsidRPr="00B02EA5" w:rsidTr="003C783D">
        <w:tc>
          <w:tcPr>
            <w:tcW w:w="4519" w:type="dxa"/>
          </w:tcPr>
          <w:p w:rsidR="003C783D" w:rsidRPr="00B02EA5" w:rsidRDefault="003C783D" w:rsidP="00B02EA5">
            <w:pPr>
              <w:jc w:val="both"/>
              <w:rPr>
                <w:rFonts w:asciiTheme="minorHAnsi" w:hAnsiTheme="minorHAnsi" w:cstheme="minorHAnsi"/>
                <w:sz w:val="20"/>
              </w:rPr>
            </w:pPr>
            <w:r w:rsidRPr="00B02EA5">
              <w:rPr>
                <w:rFonts w:asciiTheme="minorHAnsi" w:hAnsiTheme="minorHAnsi" w:cstheme="minorHAnsi"/>
                <w:sz w:val="20"/>
              </w:rPr>
              <w:t>Η τιμή προσφοράς θα δοθεί συνολικά για  την προμήθεια και τοποθέτηση των υλικών και θα αναφέρεται σαφώς στην προσφορά ότι γίνονται αποδεκτοί οι όροι της Τεχνικής Περιγραφής της οποίας έλαβε γνώση.</w:t>
            </w:r>
          </w:p>
        </w:tc>
        <w:tc>
          <w:tcPr>
            <w:tcW w:w="1905" w:type="dxa"/>
          </w:tcPr>
          <w:p w:rsidR="003C783D" w:rsidRDefault="003C783D" w:rsidP="003C783D">
            <w:pPr>
              <w:jc w:val="center"/>
            </w:pPr>
            <w:r w:rsidRPr="00A82B99">
              <w:rPr>
                <w:rFonts w:asciiTheme="minorHAnsi" w:hAnsiTheme="minorHAnsi" w:cstheme="minorHAnsi"/>
                <w:sz w:val="20"/>
              </w:rPr>
              <w:t>ΝΑΙ</w:t>
            </w:r>
          </w:p>
        </w:tc>
        <w:tc>
          <w:tcPr>
            <w:tcW w:w="1769" w:type="dxa"/>
            <w:vAlign w:val="center"/>
          </w:tcPr>
          <w:p w:rsidR="003C783D" w:rsidRPr="00B02EA5" w:rsidRDefault="003C783D" w:rsidP="00B02EA5">
            <w:pPr>
              <w:jc w:val="center"/>
              <w:rPr>
                <w:rFonts w:asciiTheme="minorHAnsi" w:hAnsiTheme="minorHAnsi" w:cstheme="minorHAnsi"/>
                <w:sz w:val="20"/>
              </w:rPr>
            </w:pPr>
          </w:p>
        </w:tc>
        <w:tc>
          <w:tcPr>
            <w:tcW w:w="1769" w:type="dxa"/>
            <w:vAlign w:val="center"/>
          </w:tcPr>
          <w:p w:rsidR="003C783D" w:rsidRPr="00B02EA5" w:rsidRDefault="003C783D" w:rsidP="00B02EA5">
            <w:pPr>
              <w:jc w:val="center"/>
              <w:rPr>
                <w:rFonts w:asciiTheme="minorHAnsi" w:hAnsiTheme="minorHAnsi" w:cstheme="minorHAnsi"/>
                <w:sz w:val="20"/>
              </w:rPr>
            </w:pPr>
          </w:p>
        </w:tc>
      </w:tr>
    </w:tbl>
    <w:p w:rsidR="00A0423E" w:rsidRDefault="00A0423E">
      <w:pPr>
        <w:rPr>
          <w:rFonts w:ascii="Arial" w:hAnsi="Arial" w:cs="Arial"/>
        </w:rPr>
      </w:pPr>
    </w:p>
    <w:p w:rsidR="007C57F7" w:rsidRDefault="007C57F7">
      <w:pPr>
        <w:rPr>
          <w:rFonts w:ascii="Arial" w:hAnsi="Arial" w:cs="Arial"/>
        </w:rPr>
      </w:pPr>
    </w:p>
    <w:p w:rsidR="007C57F7" w:rsidRDefault="007C57F7">
      <w:pPr>
        <w:rPr>
          <w:rFonts w:ascii="Arial" w:hAnsi="Arial" w:cs="Arial"/>
        </w:rPr>
      </w:pPr>
    </w:p>
    <w:p w:rsidR="007C57F7" w:rsidRDefault="007C57F7">
      <w:pPr>
        <w:spacing w:after="200" w:line="276" w:lineRule="auto"/>
        <w:rPr>
          <w:rFonts w:ascii="Arial" w:hAnsi="Arial" w:cs="Arial"/>
        </w:rPr>
      </w:pPr>
      <w:r>
        <w:rPr>
          <w:rFonts w:ascii="Arial" w:hAnsi="Arial" w:cs="Arial"/>
        </w:rPr>
        <w:br w:type="page"/>
      </w:r>
    </w:p>
    <w:p w:rsidR="007C57F7" w:rsidRPr="007C57F7" w:rsidRDefault="007C57F7" w:rsidP="007C57F7">
      <w:pPr>
        <w:jc w:val="center"/>
        <w:rPr>
          <w:rFonts w:ascii="Arial" w:hAnsi="Arial" w:cs="Arial"/>
          <w:b/>
          <w:u w:val="single"/>
        </w:rPr>
      </w:pPr>
      <w:r w:rsidRPr="007C57F7">
        <w:rPr>
          <w:rFonts w:ascii="Arial" w:hAnsi="Arial" w:cs="Arial"/>
          <w:b/>
          <w:u w:val="single"/>
        </w:rPr>
        <w:lastRenderedPageBreak/>
        <w:t>Ουρολογική Κλινική</w:t>
      </w:r>
    </w:p>
    <w:p w:rsidR="007C57F7" w:rsidRPr="007C57F7" w:rsidRDefault="007C57F7" w:rsidP="007C57F7">
      <w:pPr>
        <w:jc w:val="center"/>
        <w:rPr>
          <w:rFonts w:ascii="Arial" w:hAnsi="Arial" w:cs="Arial"/>
          <w:b/>
          <w:u w:val="single"/>
        </w:rPr>
      </w:pPr>
      <w:r w:rsidRPr="007C57F7">
        <w:rPr>
          <w:rFonts w:ascii="Arial" w:hAnsi="Arial" w:cs="Arial"/>
          <w:b/>
          <w:noProof/>
          <w:u w:val="single"/>
        </w:rPr>
        <w:drawing>
          <wp:anchor distT="0" distB="0" distL="114300" distR="114300" simplePos="0" relativeHeight="251663360" behindDoc="0" locked="0" layoutInCell="1" allowOverlap="1">
            <wp:simplePos x="0" y="0"/>
            <wp:positionH relativeFrom="column">
              <wp:posOffset>-581025</wp:posOffset>
            </wp:positionH>
            <wp:positionV relativeFrom="paragraph">
              <wp:posOffset>262890</wp:posOffset>
            </wp:positionV>
            <wp:extent cx="7391400" cy="7429500"/>
            <wp:effectExtent l="19050" t="0" r="0" b="0"/>
            <wp:wrapNone/>
            <wp:docPr id="1"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7391400" cy="7429500"/>
                    </a:xfrm>
                    <a:prstGeom prst="rect">
                      <a:avLst/>
                    </a:prstGeom>
                    <a:noFill/>
                    <a:ln w="9525">
                      <a:noFill/>
                      <a:miter lim="800000"/>
                      <a:headEnd/>
                      <a:tailEnd/>
                    </a:ln>
                  </pic:spPr>
                </pic:pic>
              </a:graphicData>
            </a:graphic>
          </wp:anchor>
        </w:drawing>
      </w:r>
    </w:p>
    <w:sectPr w:rsidR="007C57F7" w:rsidRPr="007C57F7" w:rsidSect="003F75F4">
      <w:pgSz w:w="11906" w:h="16838"/>
      <w:pgMar w:top="1440" w:right="1080" w:bottom="1440" w:left="108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C7265"/>
    <w:multiLevelType w:val="hybridMultilevel"/>
    <w:tmpl w:val="BDEA585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225977D8"/>
    <w:multiLevelType w:val="hybridMultilevel"/>
    <w:tmpl w:val="D5D863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E3D71F3"/>
    <w:multiLevelType w:val="hybridMultilevel"/>
    <w:tmpl w:val="B4083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03F6F28"/>
    <w:multiLevelType w:val="hybridMultilevel"/>
    <w:tmpl w:val="456E00D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27BB"/>
    <w:rsid w:val="0000297C"/>
    <w:rsid w:val="000548ED"/>
    <w:rsid w:val="00090C62"/>
    <w:rsid w:val="000E2D87"/>
    <w:rsid w:val="00115085"/>
    <w:rsid w:val="00127251"/>
    <w:rsid w:val="0019205D"/>
    <w:rsid w:val="001A5392"/>
    <w:rsid w:val="001C0ECF"/>
    <w:rsid w:val="00201ECF"/>
    <w:rsid w:val="00216A4A"/>
    <w:rsid w:val="00216A92"/>
    <w:rsid w:val="002205E4"/>
    <w:rsid w:val="00236328"/>
    <w:rsid w:val="00252599"/>
    <w:rsid w:val="002537C9"/>
    <w:rsid w:val="002641D5"/>
    <w:rsid w:val="00277C2C"/>
    <w:rsid w:val="002849BC"/>
    <w:rsid w:val="00285145"/>
    <w:rsid w:val="00295852"/>
    <w:rsid w:val="002B0039"/>
    <w:rsid w:val="002B3021"/>
    <w:rsid w:val="002B3ACC"/>
    <w:rsid w:val="002B423C"/>
    <w:rsid w:val="00302ED6"/>
    <w:rsid w:val="0031752E"/>
    <w:rsid w:val="003213CD"/>
    <w:rsid w:val="00335623"/>
    <w:rsid w:val="0038765D"/>
    <w:rsid w:val="003C4DF6"/>
    <w:rsid w:val="003C783D"/>
    <w:rsid w:val="003C7BA5"/>
    <w:rsid w:val="003F75F4"/>
    <w:rsid w:val="00421C84"/>
    <w:rsid w:val="00432816"/>
    <w:rsid w:val="00433930"/>
    <w:rsid w:val="00460765"/>
    <w:rsid w:val="0046739F"/>
    <w:rsid w:val="004747F5"/>
    <w:rsid w:val="004B613F"/>
    <w:rsid w:val="004C56ED"/>
    <w:rsid w:val="004C6C9F"/>
    <w:rsid w:val="004D7666"/>
    <w:rsid w:val="004E1968"/>
    <w:rsid w:val="004E42C3"/>
    <w:rsid w:val="00525EAA"/>
    <w:rsid w:val="005466D1"/>
    <w:rsid w:val="0055336D"/>
    <w:rsid w:val="00580179"/>
    <w:rsid w:val="00581C9D"/>
    <w:rsid w:val="005A1D16"/>
    <w:rsid w:val="005A38FB"/>
    <w:rsid w:val="005B7634"/>
    <w:rsid w:val="005D3213"/>
    <w:rsid w:val="005D3593"/>
    <w:rsid w:val="006222C5"/>
    <w:rsid w:val="00645FCA"/>
    <w:rsid w:val="00652FB5"/>
    <w:rsid w:val="0066130F"/>
    <w:rsid w:val="006639DD"/>
    <w:rsid w:val="006A3DA4"/>
    <w:rsid w:val="006C1DF6"/>
    <w:rsid w:val="006F69A1"/>
    <w:rsid w:val="00713E07"/>
    <w:rsid w:val="00756FB8"/>
    <w:rsid w:val="007A2793"/>
    <w:rsid w:val="007C57F7"/>
    <w:rsid w:val="007E29BC"/>
    <w:rsid w:val="00801D7E"/>
    <w:rsid w:val="008130E2"/>
    <w:rsid w:val="00821686"/>
    <w:rsid w:val="00880A17"/>
    <w:rsid w:val="00890537"/>
    <w:rsid w:val="008A0E4F"/>
    <w:rsid w:val="008B134F"/>
    <w:rsid w:val="008C27BB"/>
    <w:rsid w:val="008F6149"/>
    <w:rsid w:val="00924CB7"/>
    <w:rsid w:val="00932AFE"/>
    <w:rsid w:val="0094555C"/>
    <w:rsid w:val="00960626"/>
    <w:rsid w:val="00983879"/>
    <w:rsid w:val="009A1BC5"/>
    <w:rsid w:val="009D0354"/>
    <w:rsid w:val="009D5D81"/>
    <w:rsid w:val="00A0423E"/>
    <w:rsid w:val="00A248F6"/>
    <w:rsid w:val="00A27784"/>
    <w:rsid w:val="00A37CF4"/>
    <w:rsid w:val="00A4002E"/>
    <w:rsid w:val="00A75622"/>
    <w:rsid w:val="00AB1DF5"/>
    <w:rsid w:val="00AE2B1A"/>
    <w:rsid w:val="00AF2AB0"/>
    <w:rsid w:val="00AF5126"/>
    <w:rsid w:val="00B02EA5"/>
    <w:rsid w:val="00B10266"/>
    <w:rsid w:val="00B6340D"/>
    <w:rsid w:val="00B65343"/>
    <w:rsid w:val="00B72889"/>
    <w:rsid w:val="00B80DF4"/>
    <w:rsid w:val="00BA1DDD"/>
    <w:rsid w:val="00BB538B"/>
    <w:rsid w:val="00BF4CE1"/>
    <w:rsid w:val="00C247B5"/>
    <w:rsid w:val="00C729C1"/>
    <w:rsid w:val="00C840FD"/>
    <w:rsid w:val="00C947B8"/>
    <w:rsid w:val="00CC70E7"/>
    <w:rsid w:val="00CD2097"/>
    <w:rsid w:val="00D06514"/>
    <w:rsid w:val="00D10BE4"/>
    <w:rsid w:val="00D420A5"/>
    <w:rsid w:val="00D62F32"/>
    <w:rsid w:val="00D75C0B"/>
    <w:rsid w:val="00D76A05"/>
    <w:rsid w:val="00D95AB2"/>
    <w:rsid w:val="00DA4C21"/>
    <w:rsid w:val="00DB0EDF"/>
    <w:rsid w:val="00DC7A40"/>
    <w:rsid w:val="00DD0D09"/>
    <w:rsid w:val="00DF48AC"/>
    <w:rsid w:val="00E041BA"/>
    <w:rsid w:val="00E10F5D"/>
    <w:rsid w:val="00E424BB"/>
    <w:rsid w:val="00E52A3E"/>
    <w:rsid w:val="00EB7E2D"/>
    <w:rsid w:val="00EC2682"/>
    <w:rsid w:val="00EC6748"/>
    <w:rsid w:val="00EC726E"/>
    <w:rsid w:val="00EF0A2D"/>
    <w:rsid w:val="00EF15A8"/>
    <w:rsid w:val="00EF5D8F"/>
    <w:rsid w:val="00EF65CF"/>
    <w:rsid w:val="00F04674"/>
    <w:rsid w:val="00F12C8F"/>
    <w:rsid w:val="00F14571"/>
    <w:rsid w:val="00F639FB"/>
    <w:rsid w:val="00F6410B"/>
    <w:rsid w:val="00F659E0"/>
    <w:rsid w:val="00F73F3D"/>
    <w:rsid w:val="00F77752"/>
    <w:rsid w:val="00F95D83"/>
    <w:rsid w:val="00FB52A3"/>
    <w:rsid w:val="00FE16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7BB"/>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C27BB"/>
    <w:pPr>
      <w:jc w:val="both"/>
    </w:pPr>
    <w:rPr>
      <w:b/>
    </w:rPr>
  </w:style>
  <w:style w:type="character" w:customStyle="1" w:styleId="Char">
    <w:name w:val="Σώμα κειμένου Char"/>
    <w:basedOn w:val="a0"/>
    <w:link w:val="a3"/>
    <w:rsid w:val="008C27BB"/>
    <w:rPr>
      <w:rFonts w:ascii="Times New Roman" w:eastAsia="Times New Roman" w:hAnsi="Times New Roman" w:cs="Times New Roman"/>
      <w:b/>
      <w:sz w:val="24"/>
      <w:szCs w:val="20"/>
      <w:lang w:eastAsia="el-GR"/>
    </w:rPr>
  </w:style>
  <w:style w:type="paragraph" w:styleId="3">
    <w:name w:val="Body Text Indent 3"/>
    <w:basedOn w:val="a"/>
    <w:link w:val="3Char"/>
    <w:uiPriority w:val="99"/>
    <w:unhideWhenUsed/>
    <w:rsid w:val="008C27BB"/>
    <w:pPr>
      <w:spacing w:after="120"/>
      <w:ind w:left="283"/>
    </w:pPr>
    <w:rPr>
      <w:sz w:val="16"/>
      <w:szCs w:val="16"/>
    </w:rPr>
  </w:style>
  <w:style w:type="character" w:customStyle="1" w:styleId="3Char">
    <w:name w:val="Σώμα κείμενου με εσοχή 3 Char"/>
    <w:basedOn w:val="a0"/>
    <w:link w:val="3"/>
    <w:uiPriority w:val="99"/>
    <w:rsid w:val="008C27BB"/>
    <w:rPr>
      <w:rFonts w:ascii="Times New Roman" w:eastAsia="Times New Roman" w:hAnsi="Times New Roman" w:cs="Times New Roman"/>
      <w:sz w:val="16"/>
      <w:szCs w:val="16"/>
      <w:lang w:eastAsia="el-GR"/>
    </w:rPr>
  </w:style>
  <w:style w:type="paragraph" w:styleId="a4">
    <w:name w:val="List Paragraph"/>
    <w:basedOn w:val="a"/>
    <w:uiPriority w:val="34"/>
    <w:qFormat/>
    <w:rsid w:val="008C27BB"/>
    <w:pPr>
      <w:ind w:left="720"/>
    </w:pPr>
    <w:rPr>
      <w:rFonts w:ascii="Calibri" w:eastAsia="Calibri" w:hAnsi="Calibri" w:cs="Calibri"/>
      <w:sz w:val="22"/>
      <w:szCs w:val="22"/>
    </w:rPr>
  </w:style>
  <w:style w:type="paragraph" w:styleId="a5">
    <w:name w:val="Balloon Text"/>
    <w:basedOn w:val="a"/>
    <w:link w:val="Char0"/>
    <w:uiPriority w:val="99"/>
    <w:semiHidden/>
    <w:unhideWhenUsed/>
    <w:rsid w:val="0046739F"/>
    <w:rPr>
      <w:rFonts w:ascii="Tahoma" w:hAnsi="Tahoma" w:cs="Tahoma"/>
      <w:sz w:val="16"/>
      <w:szCs w:val="16"/>
    </w:rPr>
  </w:style>
  <w:style w:type="character" w:customStyle="1" w:styleId="Char0">
    <w:name w:val="Κείμενο πλαισίου Char"/>
    <w:basedOn w:val="a0"/>
    <w:link w:val="a5"/>
    <w:uiPriority w:val="99"/>
    <w:semiHidden/>
    <w:rsid w:val="0046739F"/>
    <w:rPr>
      <w:rFonts w:ascii="Tahoma" w:eastAsia="Times New Roman" w:hAnsi="Tahoma" w:cs="Tahoma"/>
      <w:sz w:val="16"/>
      <w:szCs w:val="16"/>
      <w:lang w:eastAsia="el-GR"/>
    </w:rPr>
  </w:style>
  <w:style w:type="table" w:styleId="a6">
    <w:name w:val="Table Grid"/>
    <w:basedOn w:val="a1"/>
    <w:uiPriority w:val="59"/>
    <w:rsid w:val="00B02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1087</Words>
  <Characters>5871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prom24</cp:lastModifiedBy>
  <cp:revision>3</cp:revision>
  <cp:lastPrinted>2026-01-21T11:34:00Z</cp:lastPrinted>
  <dcterms:created xsi:type="dcterms:W3CDTF">2026-07-03T10:48:00Z</dcterms:created>
  <dcterms:modified xsi:type="dcterms:W3CDTF">2026-07-03T11:21:00Z</dcterms:modified>
</cp:coreProperties>
</file>